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CCD0" w14:textId="77777777" w:rsidR="0093026D" w:rsidRDefault="0093026D" w:rsidP="0093026D">
      <w:pPr>
        <w:pStyle w:val="Heading2"/>
        <w:numPr>
          <w:ilvl w:val="0"/>
          <w:numId w:val="0"/>
        </w:numPr>
      </w:pPr>
      <w:bookmarkStart w:id="0" w:name="_Toc152140573"/>
      <w:r w:rsidRPr="00B26EEB">
        <w:t>G</w:t>
      </w:r>
      <w:r w:rsidRPr="00C72017">
        <w:t>uiding questions</w:t>
      </w:r>
      <w:bookmarkEnd w:id="0"/>
    </w:p>
    <w:p w14:paraId="43DB08FA" w14:textId="3CF63CFE" w:rsidR="0093026D" w:rsidRDefault="0093026D" w:rsidP="0093026D">
      <w:r>
        <w:t>To assist you with your response the guiding questions from the Discussion Paper have been collated into a list.</w:t>
      </w:r>
    </w:p>
    <w:p w14:paraId="44F42840" w14:textId="77777777" w:rsidR="0093026D" w:rsidRPr="00B67068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B67068">
        <w:rPr>
          <w:b/>
          <w:bCs/>
          <w:sz w:val="22"/>
          <w:szCs w:val="24"/>
          <w:u w:val="single"/>
        </w:rPr>
        <w:t>1: Extension of 3-year contracts</w:t>
      </w:r>
    </w:p>
    <w:p w14:paraId="04443884" w14:textId="4685208F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1.1</w:t>
      </w:r>
      <w:r w:rsidRPr="00B67068">
        <w:rPr>
          <w:sz w:val="22"/>
          <w:szCs w:val="24"/>
        </w:rPr>
        <w:t xml:space="preserve">: What are the anticipated tensions that could arise when </w:t>
      </w:r>
      <w:r>
        <w:rPr>
          <w:sz w:val="22"/>
          <w:szCs w:val="24"/>
        </w:rPr>
        <w:t xml:space="preserve">the end of </w:t>
      </w:r>
      <w:r w:rsidRPr="00B67068">
        <w:rPr>
          <w:sz w:val="22"/>
          <w:szCs w:val="24"/>
        </w:rPr>
        <w:t>a MSA supply period is postponed?</w:t>
      </w:r>
      <w:r>
        <w:rPr>
          <w:sz w:val="22"/>
          <w:szCs w:val="24"/>
        </w:rPr>
        <w:t xml:space="preserve"> </w:t>
      </w:r>
    </w:p>
    <w:p w14:paraId="4838C27F" w14:textId="77777777" w:rsidR="0093026D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>Question 1</w:t>
      </w:r>
      <w:r>
        <w:rPr>
          <w:sz w:val="22"/>
          <w:szCs w:val="24"/>
        </w:rPr>
        <w:t>.2</w:t>
      </w:r>
      <w:r w:rsidRPr="00B67068">
        <w:rPr>
          <w:sz w:val="22"/>
          <w:szCs w:val="24"/>
        </w:rPr>
        <w:t>: How can the risk of 3-year MSA extensions be better balanced between all parties?</w:t>
      </w:r>
    </w:p>
    <w:p w14:paraId="448A51DC" w14:textId="77777777" w:rsidR="0093026D" w:rsidRPr="00C10512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>
        <w:rPr>
          <w:b/>
          <w:bCs/>
          <w:sz w:val="22"/>
          <w:szCs w:val="24"/>
          <w:u w:val="single"/>
        </w:rPr>
        <w:t>2: Small business definitions and exemptions</w:t>
      </w:r>
    </w:p>
    <w:p w14:paraId="097348F4" w14:textId="77777777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2.1</w:t>
      </w:r>
      <w:r w:rsidRPr="00B67068">
        <w:rPr>
          <w:sz w:val="22"/>
          <w:szCs w:val="24"/>
        </w:rPr>
        <w:t xml:space="preserve">: </w:t>
      </w:r>
      <w:r>
        <w:rPr>
          <w:sz w:val="22"/>
          <w:szCs w:val="24"/>
        </w:rPr>
        <w:t>Should the small business exemption be expanded to include processors purchasing milk from a limited number of farmers? What threshold would be appropriate (e.g., processors purchasing from fewer than five farmers)? What risks would arise from expanding this exemption?</w:t>
      </w:r>
    </w:p>
    <w:p w14:paraId="26C27EED" w14:textId="77777777" w:rsidR="0093026D" w:rsidRPr="00A030E1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>
        <w:rPr>
          <w:b/>
          <w:bCs/>
          <w:sz w:val="22"/>
          <w:szCs w:val="24"/>
          <w:u w:val="single"/>
        </w:rPr>
        <w:t>3: MSA variation requirements</w:t>
      </w:r>
    </w:p>
    <w:p w14:paraId="0E8C0C1D" w14:textId="77777777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3.1</w:t>
      </w:r>
      <w:r w:rsidRPr="00B67068">
        <w:rPr>
          <w:sz w:val="22"/>
          <w:szCs w:val="24"/>
        </w:rPr>
        <w:t xml:space="preserve">: </w:t>
      </w:r>
      <w:r w:rsidRPr="00237C8F">
        <w:rPr>
          <w:rFonts w:cstheme="minorHAnsi"/>
          <w:color w:val="111111"/>
          <w:sz w:val="22"/>
        </w:rPr>
        <w:t>Rather than publishing all MSA's (including the superseded MSAs), what are the risks or benefits with a processor maintaining a complete list of variations alongside the current MSA? Can the risks be mitigated?</w:t>
      </w:r>
    </w:p>
    <w:p w14:paraId="2DB968FD" w14:textId="77777777" w:rsidR="0093026D" w:rsidRPr="00B67068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B67068">
        <w:rPr>
          <w:b/>
          <w:bCs/>
          <w:sz w:val="22"/>
          <w:szCs w:val="24"/>
          <w:u w:val="single"/>
        </w:rPr>
        <w:t>4: Non-exclusive contract arrangements</w:t>
      </w:r>
    </w:p>
    <w:p w14:paraId="3CFD6B15" w14:textId="77777777" w:rsidR="0093026D" w:rsidRPr="00B67068" w:rsidRDefault="0093026D" w:rsidP="0093026D">
      <w:pPr>
        <w:pStyle w:val="BoxText"/>
        <w:rPr>
          <w:sz w:val="22"/>
          <w:szCs w:val="24"/>
        </w:rPr>
      </w:pPr>
      <w:r>
        <w:rPr>
          <w:sz w:val="22"/>
          <w:szCs w:val="24"/>
        </w:rPr>
        <w:t>Question 4.1: How can processors reduce the inefficiencies and administrative costs of non-exclusive MSAs?</w:t>
      </w:r>
      <w:r w:rsidRPr="00B67068" w:rsidDel="00B4549A">
        <w:rPr>
          <w:sz w:val="22"/>
          <w:szCs w:val="24"/>
        </w:rPr>
        <w:t xml:space="preserve"> </w:t>
      </w:r>
    </w:p>
    <w:p w14:paraId="6101CECE" w14:textId="77777777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4.2</w:t>
      </w:r>
      <w:r w:rsidRPr="00B67068">
        <w:rPr>
          <w:sz w:val="22"/>
          <w:szCs w:val="24"/>
        </w:rPr>
        <w:t>: How can the risks of non-exclusive MSAs be better balanced between both parties?</w:t>
      </w:r>
    </w:p>
    <w:p w14:paraId="1D67AE4C" w14:textId="77777777" w:rsidR="0093026D" w:rsidRPr="00B67068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B67068">
        <w:rPr>
          <w:b/>
          <w:bCs/>
          <w:sz w:val="22"/>
          <w:szCs w:val="24"/>
          <w:u w:val="single"/>
        </w:rPr>
        <w:t>5: Minimum pricing requirements in multi-year contracts</w:t>
      </w:r>
    </w:p>
    <w:p w14:paraId="2D965DF2" w14:textId="77777777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Questions </w:t>
      </w:r>
      <w:r>
        <w:rPr>
          <w:sz w:val="22"/>
          <w:szCs w:val="24"/>
        </w:rPr>
        <w:t>5.1</w:t>
      </w:r>
      <w:r w:rsidRPr="00B67068">
        <w:rPr>
          <w:sz w:val="22"/>
          <w:szCs w:val="24"/>
        </w:rPr>
        <w:t>: What mechanism</w:t>
      </w:r>
      <w:r>
        <w:rPr>
          <w:sz w:val="22"/>
          <w:szCs w:val="24"/>
        </w:rPr>
        <w:t>s</w:t>
      </w:r>
      <w:r w:rsidRPr="00B67068">
        <w:rPr>
          <w:sz w:val="22"/>
          <w:szCs w:val="24"/>
        </w:rPr>
        <w:t xml:space="preserve"> can be implemented to ensure price protections on multi-year MSAs for both the </w:t>
      </w:r>
      <w:r>
        <w:rPr>
          <w:sz w:val="22"/>
          <w:szCs w:val="24"/>
        </w:rPr>
        <w:t>farmer</w:t>
      </w:r>
      <w:r w:rsidRPr="00B67068">
        <w:rPr>
          <w:sz w:val="22"/>
          <w:szCs w:val="24"/>
        </w:rPr>
        <w:t xml:space="preserve"> and processor? </w:t>
      </w:r>
    </w:p>
    <w:p w14:paraId="7C9ED990" w14:textId="77777777" w:rsidR="0093026D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5.2</w:t>
      </w:r>
      <w:r w:rsidRPr="00B67068">
        <w:rPr>
          <w:sz w:val="22"/>
          <w:szCs w:val="24"/>
        </w:rPr>
        <w:t xml:space="preserve">: Do multi-year MSAs provide enough pricing flexibility to respond to changing markets? If not, how can this be achieved? </w:t>
      </w:r>
    </w:p>
    <w:p w14:paraId="750D628B" w14:textId="77777777" w:rsidR="0093026D" w:rsidRPr="00B67068" w:rsidRDefault="0093026D" w:rsidP="0093026D">
      <w:pPr>
        <w:pStyle w:val="BoxText"/>
        <w:rPr>
          <w:sz w:val="22"/>
          <w:szCs w:val="24"/>
        </w:rPr>
      </w:pPr>
      <w:r>
        <w:rPr>
          <w:sz w:val="22"/>
          <w:szCs w:val="24"/>
        </w:rPr>
        <w:t>Question 5.3: Should there be a defined process to determine what meets the requirements of an exceptional circumstance?</w:t>
      </w:r>
    </w:p>
    <w:p w14:paraId="1D8A6ACE" w14:textId="77777777" w:rsidR="0093026D" w:rsidRPr="00B67068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B67068">
        <w:rPr>
          <w:b/>
          <w:bCs/>
          <w:sz w:val="22"/>
          <w:szCs w:val="24"/>
          <w:u w:val="single"/>
        </w:rPr>
        <w:t>6: Multi-party dispute resolution and arbitration</w:t>
      </w:r>
    </w:p>
    <w:p w14:paraId="6230217F" w14:textId="77777777" w:rsidR="0093026D" w:rsidRPr="00B67068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6.1</w:t>
      </w:r>
      <w:r w:rsidRPr="00B67068">
        <w:rPr>
          <w:sz w:val="22"/>
          <w:szCs w:val="24"/>
        </w:rPr>
        <w:t>: Should negotiation and arbitration costs be based pro rata on turnover to give each party a fairer deal in expensive legal processes?</w:t>
      </w:r>
      <w:r>
        <w:rPr>
          <w:sz w:val="22"/>
          <w:szCs w:val="24"/>
        </w:rPr>
        <w:t xml:space="preserve"> If not, can you suggest a fairer solution?</w:t>
      </w:r>
    </w:p>
    <w:p w14:paraId="6B81FBF8" w14:textId="77777777" w:rsidR="0093026D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6.2</w:t>
      </w:r>
      <w:r w:rsidRPr="00B67068">
        <w:rPr>
          <w:sz w:val="22"/>
          <w:szCs w:val="24"/>
        </w:rPr>
        <w:t xml:space="preserve">: What are the risks and benefits to both the </w:t>
      </w:r>
      <w:r>
        <w:rPr>
          <w:sz w:val="22"/>
          <w:szCs w:val="24"/>
        </w:rPr>
        <w:t>farmer</w:t>
      </w:r>
      <w:r w:rsidRPr="00B67068">
        <w:rPr>
          <w:sz w:val="22"/>
          <w:szCs w:val="24"/>
        </w:rPr>
        <w:t xml:space="preserve"> and processor of allowing multi-party dispute resolution? </w:t>
      </w:r>
      <w:r>
        <w:rPr>
          <w:sz w:val="22"/>
          <w:szCs w:val="24"/>
        </w:rPr>
        <w:t>How can any risks be mitigated?</w:t>
      </w:r>
    </w:p>
    <w:p w14:paraId="625804E6" w14:textId="77777777" w:rsidR="0093026D" w:rsidRPr="00022676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022676">
        <w:rPr>
          <w:b/>
          <w:bCs/>
          <w:sz w:val="22"/>
          <w:szCs w:val="24"/>
          <w:u w:val="single"/>
        </w:rPr>
        <w:t>7: Contract cooling off period</w:t>
      </w:r>
    </w:p>
    <w:p w14:paraId="65C0CC5C" w14:textId="77777777" w:rsidR="0093026D" w:rsidRPr="00022676" w:rsidRDefault="0093026D" w:rsidP="0093026D">
      <w:pPr>
        <w:pStyle w:val="BoxText"/>
        <w:rPr>
          <w:sz w:val="22"/>
          <w:szCs w:val="24"/>
        </w:rPr>
      </w:pPr>
      <w:r w:rsidRPr="00022676">
        <w:rPr>
          <w:sz w:val="22"/>
          <w:szCs w:val="24"/>
        </w:rPr>
        <w:t xml:space="preserve">Question </w:t>
      </w:r>
      <w:r>
        <w:rPr>
          <w:sz w:val="22"/>
          <w:szCs w:val="24"/>
        </w:rPr>
        <w:t>7.1</w:t>
      </w:r>
      <w:r w:rsidRPr="00022676">
        <w:rPr>
          <w:sz w:val="22"/>
          <w:szCs w:val="24"/>
        </w:rPr>
        <w:t xml:space="preserve">: Could MSAs be negotiated earlier </w:t>
      </w:r>
      <w:r>
        <w:rPr>
          <w:sz w:val="22"/>
          <w:szCs w:val="24"/>
        </w:rPr>
        <w:t xml:space="preserve">to allow time for farmers to assess the financial and legal circumstances before the beginning of the season? </w:t>
      </w:r>
      <w:r w:rsidRPr="00022676">
        <w:rPr>
          <w:sz w:val="22"/>
          <w:szCs w:val="24"/>
        </w:rPr>
        <w:t xml:space="preserve"> </w:t>
      </w:r>
    </w:p>
    <w:p w14:paraId="306CD956" w14:textId="77777777" w:rsidR="0093026D" w:rsidRPr="00022676" w:rsidRDefault="0093026D" w:rsidP="0093026D">
      <w:pPr>
        <w:pStyle w:val="BoxText"/>
        <w:rPr>
          <w:sz w:val="22"/>
          <w:szCs w:val="24"/>
        </w:rPr>
      </w:pPr>
      <w:r w:rsidRPr="00022676">
        <w:rPr>
          <w:sz w:val="22"/>
          <w:szCs w:val="24"/>
        </w:rPr>
        <w:lastRenderedPageBreak/>
        <w:t xml:space="preserve">Question </w:t>
      </w:r>
      <w:r>
        <w:rPr>
          <w:sz w:val="22"/>
          <w:szCs w:val="24"/>
        </w:rPr>
        <w:t>7.2</w:t>
      </w:r>
      <w:r w:rsidRPr="00022676">
        <w:rPr>
          <w:sz w:val="22"/>
          <w:szCs w:val="24"/>
        </w:rPr>
        <w:t xml:space="preserve">: </w:t>
      </w:r>
      <w:r>
        <w:rPr>
          <w:sz w:val="22"/>
          <w:szCs w:val="24"/>
        </w:rPr>
        <w:t>How can the</w:t>
      </w:r>
      <w:r w:rsidRPr="00022676">
        <w:rPr>
          <w:sz w:val="22"/>
          <w:szCs w:val="24"/>
        </w:rPr>
        <w:t xml:space="preserve"> cooling off period </w:t>
      </w:r>
      <w:r>
        <w:rPr>
          <w:sz w:val="22"/>
          <w:szCs w:val="24"/>
        </w:rPr>
        <w:t xml:space="preserve">be implemented in a way </w:t>
      </w:r>
      <w:r w:rsidRPr="00022676">
        <w:rPr>
          <w:sz w:val="22"/>
          <w:szCs w:val="24"/>
        </w:rPr>
        <w:t xml:space="preserve">that </w:t>
      </w:r>
      <w:r>
        <w:rPr>
          <w:sz w:val="22"/>
          <w:szCs w:val="24"/>
        </w:rPr>
        <w:t xml:space="preserve">more equitably balances risk and </w:t>
      </w:r>
      <w:r w:rsidRPr="00022676">
        <w:rPr>
          <w:sz w:val="22"/>
          <w:szCs w:val="24"/>
        </w:rPr>
        <w:t xml:space="preserve">not </w:t>
      </w:r>
      <w:r>
        <w:rPr>
          <w:sz w:val="22"/>
          <w:szCs w:val="24"/>
        </w:rPr>
        <w:t xml:space="preserve">significantly </w:t>
      </w:r>
      <w:r w:rsidRPr="00022676">
        <w:rPr>
          <w:sz w:val="22"/>
          <w:szCs w:val="24"/>
        </w:rPr>
        <w:t xml:space="preserve">disadvantage either </w:t>
      </w:r>
      <w:r>
        <w:rPr>
          <w:sz w:val="22"/>
          <w:szCs w:val="24"/>
        </w:rPr>
        <w:t>party</w:t>
      </w:r>
      <w:r w:rsidRPr="00022676">
        <w:rPr>
          <w:sz w:val="22"/>
          <w:szCs w:val="24"/>
        </w:rPr>
        <w:t>?</w:t>
      </w:r>
    </w:p>
    <w:p w14:paraId="5ADA9201" w14:textId="77777777" w:rsidR="0093026D" w:rsidRPr="00B67068" w:rsidRDefault="0093026D" w:rsidP="0093026D">
      <w:pPr>
        <w:pStyle w:val="BoxText"/>
        <w:rPr>
          <w:b/>
          <w:bCs/>
          <w:sz w:val="22"/>
          <w:szCs w:val="24"/>
          <w:u w:val="single"/>
        </w:rPr>
      </w:pPr>
      <w:r w:rsidRPr="00B67068">
        <w:rPr>
          <w:b/>
          <w:bCs/>
          <w:sz w:val="22"/>
          <w:szCs w:val="24"/>
          <w:u w:val="single"/>
        </w:rPr>
        <w:t>8: Unwritten or unsigned contracts</w:t>
      </w:r>
    </w:p>
    <w:p w14:paraId="0E20216F" w14:textId="77777777" w:rsidR="0093026D" w:rsidRDefault="0093026D" w:rsidP="0093026D">
      <w:pPr>
        <w:pStyle w:val="BoxText"/>
        <w:rPr>
          <w:sz w:val="22"/>
          <w:szCs w:val="24"/>
        </w:rPr>
      </w:pPr>
      <w:r>
        <w:rPr>
          <w:sz w:val="22"/>
          <w:szCs w:val="24"/>
        </w:rPr>
        <w:t>Question 8.1: Should verbal MSAs be allowable at any point during the lifetime of the MSA?</w:t>
      </w:r>
    </w:p>
    <w:p w14:paraId="01AF567A" w14:textId="77777777" w:rsidR="0093026D" w:rsidRDefault="0093026D" w:rsidP="0093026D">
      <w:pPr>
        <w:pStyle w:val="BoxText"/>
        <w:rPr>
          <w:sz w:val="22"/>
          <w:szCs w:val="24"/>
        </w:rPr>
      </w:pPr>
      <w:r w:rsidRPr="00B67068">
        <w:rPr>
          <w:sz w:val="22"/>
          <w:szCs w:val="24"/>
        </w:rPr>
        <w:t xml:space="preserve">Question </w:t>
      </w:r>
      <w:r>
        <w:rPr>
          <w:sz w:val="22"/>
          <w:szCs w:val="24"/>
        </w:rPr>
        <w:t>8.2</w:t>
      </w:r>
      <w:r w:rsidRPr="00B67068">
        <w:rPr>
          <w:sz w:val="22"/>
          <w:szCs w:val="24"/>
        </w:rPr>
        <w:t xml:space="preserve">: What are the risks and benefits of enforcing </w:t>
      </w:r>
      <w:r>
        <w:rPr>
          <w:sz w:val="22"/>
          <w:szCs w:val="24"/>
        </w:rPr>
        <w:t xml:space="preserve">written MSAs, signed by both parties? </w:t>
      </w:r>
    </w:p>
    <w:p w14:paraId="3E952DCF" w14:textId="77777777" w:rsidR="0093026D" w:rsidRPr="00B67068" w:rsidRDefault="0093026D" w:rsidP="0093026D">
      <w:pPr>
        <w:pStyle w:val="BoxText"/>
        <w:rPr>
          <w:sz w:val="22"/>
          <w:szCs w:val="24"/>
        </w:rPr>
      </w:pPr>
      <w:r>
        <w:rPr>
          <w:sz w:val="22"/>
          <w:szCs w:val="24"/>
        </w:rPr>
        <w:t xml:space="preserve">Question 8.3: Should a signed MSA be in place before the commencement of the milk supply? </w:t>
      </w:r>
    </w:p>
    <w:p w14:paraId="7C0B2D79" w14:textId="77777777" w:rsidR="0093026D" w:rsidRDefault="0093026D" w:rsidP="0093026D"/>
    <w:p w14:paraId="362E84F6" w14:textId="77777777" w:rsidR="0016240E" w:rsidRDefault="0016240E"/>
    <w:sectPr w:rsidR="00162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AFF4" w14:textId="77777777" w:rsidR="00237FDB" w:rsidRDefault="00237FDB" w:rsidP="000509AB">
      <w:pPr>
        <w:spacing w:after="0" w:line="240" w:lineRule="auto"/>
      </w:pPr>
      <w:r>
        <w:separator/>
      </w:r>
    </w:p>
  </w:endnote>
  <w:endnote w:type="continuationSeparator" w:id="0">
    <w:p w14:paraId="567A9740" w14:textId="77777777" w:rsidR="00237FDB" w:rsidRDefault="00237FDB" w:rsidP="0005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C97A" w14:textId="77777777" w:rsidR="00237FDB" w:rsidRDefault="00237FDB" w:rsidP="000509AB">
      <w:pPr>
        <w:spacing w:after="0" w:line="240" w:lineRule="auto"/>
      </w:pPr>
      <w:r>
        <w:separator/>
      </w:r>
    </w:p>
  </w:footnote>
  <w:footnote w:type="continuationSeparator" w:id="0">
    <w:p w14:paraId="44C007B4" w14:textId="77777777" w:rsidR="00237FDB" w:rsidRDefault="00237FDB" w:rsidP="0005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078"/>
    <w:multiLevelType w:val="multilevel"/>
    <w:tmpl w:val="A73E9A04"/>
    <w:styleLink w:val="Headinglist"/>
    <w:lvl w:ilvl="0">
      <w:start w:val="1"/>
      <w:numFmt w:val="decimal"/>
      <w:pStyle w:val="Heading2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6609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6D"/>
    <w:rsid w:val="000509AB"/>
    <w:rsid w:val="000D5377"/>
    <w:rsid w:val="0016240E"/>
    <w:rsid w:val="00237FDB"/>
    <w:rsid w:val="0093026D"/>
    <w:rsid w:val="00C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C292"/>
  <w15:chartTrackingRefBased/>
  <w15:docId w15:val="{5F547A16-7C90-4288-A169-A93BDF4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6D"/>
    <w:pPr>
      <w:spacing w:after="200" w:line="276" w:lineRule="auto"/>
    </w:pPr>
    <w:rPr>
      <w:kern w:val="0"/>
    </w:rPr>
  </w:style>
  <w:style w:type="paragraph" w:styleId="Heading2">
    <w:name w:val="heading 2"/>
    <w:basedOn w:val="Normal"/>
    <w:next w:val="Normal"/>
    <w:link w:val="Heading2Char"/>
    <w:uiPriority w:val="3"/>
    <w:rsid w:val="0093026D"/>
    <w:pPr>
      <w:pageBreakBefore/>
      <w:numPr>
        <w:numId w:val="1"/>
      </w:numPr>
      <w:spacing w:after="240" w:line="240" w:lineRule="auto"/>
      <w:outlineLvl w:val="1"/>
    </w:pPr>
    <w:rPr>
      <w:rFonts w:ascii="Calibri" w:eastAsiaTheme="minorEastAsia" w:hAnsi="Calibri"/>
      <w:bCs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26D"/>
    <w:pPr>
      <w:keepNext/>
      <w:keepLines/>
      <w:numPr>
        <w:ilvl w:val="1"/>
        <w:numId w:val="1"/>
      </w:numPr>
      <w:spacing w:after="0" w:line="240" w:lineRule="auto"/>
      <w:outlineLvl w:val="2"/>
    </w:pPr>
    <w:rPr>
      <w:rFonts w:ascii="Calibri" w:eastAsia="Times New Roman" w:hAnsi="Calibri" w:cs="Times New Roman"/>
      <w:b/>
      <w:bCs/>
      <w:kern w:val="0"/>
      <w:sz w:val="36"/>
      <w:szCs w:val="24"/>
    </w:rPr>
  </w:style>
  <w:style w:type="paragraph" w:styleId="Heading4">
    <w:name w:val="heading 4"/>
    <w:next w:val="Normal"/>
    <w:link w:val="Heading4Char"/>
    <w:uiPriority w:val="5"/>
    <w:qFormat/>
    <w:rsid w:val="0093026D"/>
    <w:pPr>
      <w:keepNext/>
      <w:numPr>
        <w:ilvl w:val="2"/>
        <w:numId w:val="1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93026D"/>
    <w:rPr>
      <w:rFonts w:ascii="Calibri" w:eastAsiaTheme="minorEastAsia" w:hAnsi="Calibri"/>
      <w:bCs/>
      <w:kern w:val="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26D"/>
    <w:rPr>
      <w:rFonts w:ascii="Calibri" w:eastAsia="Times New Roman" w:hAnsi="Calibri" w:cs="Times New Roman"/>
      <w:b/>
      <w:bCs/>
      <w:kern w:val="0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93026D"/>
    <w:rPr>
      <w:rFonts w:ascii="Calibri" w:eastAsia="Times New Roman" w:hAnsi="Calibri" w:cs="Times New Roman"/>
      <w:b/>
      <w:bCs/>
      <w:kern w:val="0"/>
      <w:sz w:val="28"/>
      <w:szCs w:val="24"/>
    </w:rPr>
  </w:style>
  <w:style w:type="paragraph" w:customStyle="1" w:styleId="BoxText">
    <w:name w:val="Box Text"/>
    <w:basedOn w:val="Normal"/>
    <w:uiPriority w:val="19"/>
    <w:qFormat/>
    <w:rsid w:val="0093026D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numbering" w:customStyle="1" w:styleId="Headinglist">
    <w:name w:val="Heading list"/>
    <w:uiPriority w:val="99"/>
    <w:rsid w:val="0093026D"/>
    <w:pPr>
      <w:numPr>
        <w:numId w:val="1"/>
      </w:numPr>
    </w:pPr>
  </w:style>
  <w:style w:type="paragraph" w:styleId="Revision">
    <w:name w:val="Revision"/>
    <w:hidden/>
    <w:uiPriority w:val="99"/>
    <w:semiHidden/>
    <w:rsid w:val="000509AB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05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AB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05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A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2AE4-1A4A-4B78-9E50-88092D5B46A1}"/>
</file>

<file path=customXml/itemProps2.xml><?xml version="1.0" encoding="utf-8"?>
<ds:datastoreItem xmlns:ds="http://schemas.openxmlformats.org/officeDocument/2006/customXml" ds:itemID="{52D2F3F4-F970-4B3A-9CAE-B233E2B72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Emily</dc:creator>
  <cp:keywords/>
  <dc:description/>
  <cp:lastModifiedBy>McKechnie, Emily</cp:lastModifiedBy>
  <cp:revision>2</cp:revision>
  <dcterms:created xsi:type="dcterms:W3CDTF">2024-01-11T03:29:00Z</dcterms:created>
  <dcterms:modified xsi:type="dcterms:W3CDTF">2024-01-11T03:29:00Z</dcterms:modified>
</cp:coreProperties>
</file>